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79"/>
      </w:tblGrid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IDENTIFICAÇÃO DO PRODUTO E DA EMPRESA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Nome do Produto: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BIO GENE </w:t>
            </w:r>
            <w:r w:rsidR="002214E3">
              <w:rPr>
                <w:rFonts w:ascii="Arial" w:hAnsi="Arial" w:cs="Arial"/>
                <w:sz w:val="16"/>
                <w:szCs w:val="16"/>
              </w:rPr>
              <w:t xml:space="preserve">COVID-19 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PCR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Código Interno de Identificação do Produto: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2214E3">
              <w:rPr>
                <w:rFonts w:ascii="Arial" w:hAnsi="Arial" w:cs="Arial"/>
                <w:sz w:val="16"/>
                <w:szCs w:val="16"/>
              </w:rPr>
              <w:t>228-1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Nome da Empresa: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Quibasa Química Básica Ltda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 xml:space="preserve">Endereço: </w:t>
            </w:r>
            <w:r w:rsidRPr="00403691">
              <w:rPr>
                <w:rFonts w:ascii="Arial" w:hAnsi="Arial" w:cs="Arial"/>
                <w:sz w:val="16"/>
                <w:szCs w:val="16"/>
              </w:rPr>
              <w:t>Rua Teles de Menezes, 92 – Santa Branca – Belo Horizonte / Minas Gerais – Cep: 31.565-130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Telefone da Empresa: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+ 55 31 3439 5454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Telefone para Emergências: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0800 031 5454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sac@bioclin.com.br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COMPOSIÇÃO E INFORMAÇÕES SOBRE INGREDIENTES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Natureza química: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R1. Solução PCR E: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Primer, Sonda, TRIS-HCl.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R2. Solução PCR RdRp: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Primer, Sonda, TRIS-HCl.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R3. Mix Taq: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Polimerase, dNTPs, MgCl2, Estabilizantes.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R4. Tampão Mix: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TRIS-HCl.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R5. Padrão A (2 x 10⁵ cópias/μL):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Plasmídeo, TRIS-HCl, EDTA.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 Diluente: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TRIS-HCl, EDTA.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R7. Água: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Água livre de DNase/RNase. </w:t>
            </w:r>
          </w:p>
          <w:p w:rsidR="002214E3" w:rsidRPr="002214E3" w:rsidRDefault="002214E3" w:rsidP="002214E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R8. Controle Negativo: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TRIS-HCl, EDTA. </w:t>
            </w:r>
          </w:p>
          <w:p w:rsidR="007A09AD" w:rsidRDefault="002214E3" w:rsidP="002214E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14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R9. Solução PCR Endógeno: </w:t>
            </w:r>
            <w:r w:rsidRPr="002214E3">
              <w:rPr>
                <w:rFonts w:ascii="Arial" w:hAnsi="Arial" w:cs="Arial"/>
                <w:sz w:val="16"/>
                <w:szCs w:val="16"/>
              </w:rPr>
              <w:t xml:space="preserve">Primer, Sonda, TRIS-HCl. </w:t>
            </w:r>
          </w:p>
          <w:p w:rsidR="002214E3" w:rsidRPr="002214E3" w:rsidRDefault="002214E3" w:rsidP="002214E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Ingredientes ou impurezas que contribuam para o perigo: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Classificação e rotulagem de perigo: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IDENTIFICAÇÃO DE PERIGO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Perigos mais importantes: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Produto bastante estável e não tóxico quando utilizado seguindo as Boas Práticas do Laboratório.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Efeitos adversos à saúde humana: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existe relatado nenhum perigo com este produto.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Efeitos ambientais: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existe relatado nenhum perigo com este produto.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Perigos específicos: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ver item 10.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Classificação do produto químico: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MEDIDAS DE PRIMEIROS SOCORROS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Inalação: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Remova a vítima para o ar livre e, se os sintomas persistirem, solicite assistência médica.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Contato com a pele: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Lavar a pele em água corrente.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Contato com os olhos: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Lave os olhos em água corrente.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Ingestão: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Remova a vítima para o ar livre e, se os sintomas persistirem, solicite assistência médica.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MEDIDAS DE COMBATE A INCÊNDIO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Meios de extinção apropriados: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Utilize pó químico, CO</w:t>
            </w:r>
            <w:r w:rsidRPr="009038B7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403691">
              <w:rPr>
                <w:rFonts w:ascii="Arial" w:hAnsi="Arial" w:cs="Arial"/>
                <w:sz w:val="16"/>
                <w:szCs w:val="16"/>
              </w:rPr>
              <w:t>, ou neblina de água, pode-se utilizar jato de água, porém não de forma direta. No caso de grandes incêndios solicitar o serviço de emergência do corpo de bombeiros.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Métodos especiais: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existem procedimentos especiais de combate ao incêndio.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MEDIDAS DE CONTROLE PARA DERRAMAMENTO OU VAZAMENTO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Remoção de fontes de ignição: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Controle de poeira: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Prevenção da inalação e do contato com a pele, mucosas e olhos: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Usar equipamentos de proteção individual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Precauções ao meio ambiente: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Métodos para limpeza: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Utilizar material absorvente inerte. 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MANUSEIO E ARMAZENAMENTO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389">
              <w:rPr>
                <w:rFonts w:ascii="Arial" w:hAnsi="Arial" w:cs="Arial"/>
                <w:b/>
                <w:sz w:val="16"/>
                <w:szCs w:val="16"/>
              </w:rPr>
              <w:t>Manuseio: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Seguir as Boas Práticas de Laboratório, evitando contato com a pele, olhos e boca. E sempre após o manuseio lavar as mãos com água em abundância.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389">
              <w:rPr>
                <w:rFonts w:ascii="Arial" w:hAnsi="Arial" w:cs="Arial"/>
                <w:b/>
                <w:sz w:val="16"/>
                <w:szCs w:val="16"/>
              </w:rPr>
              <w:t>Medidas técnicas apropriadas</w:t>
            </w:r>
            <w:r w:rsidR="00403691" w:rsidRPr="00400389">
              <w:rPr>
                <w:rFonts w:ascii="Arial" w:hAnsi="Arial" w:cs="Arial"/>
                <w:b/>
                <w:sz w:val="16"/>
                <w:szCs w:val="16"/>
              </w:rPr>
              <w:t xml:space="preserve"> para armazenamento</w:t>
            </w:r>
            <w:r w:rsidRPr="0040038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Armazenar a -20ºC (-10 a -30ºC).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389">
              <w:rPr>
                <w:rFonts w:ascii="Arial" w:hAnsi="Arial" w:cs="Arial"/>
                <w:b/>
                <w:sz w:val="16"/>
                <w:szCs w:val="16"/>
              </w:rPr>
              <w:t>Condições de armazenamento adequadas: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armazenar na embalagem original em temperatura a -20ºC (-10 a -30ºC).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389">
              <w:rPr>
                <w:rFonts w:ascii="Arial" w:hAnsi="Arial" w:cs="Arial"/>
                <w:b/>
                <w:sz w:val="16"/>
                <w:szCs w:val="16"/>
              </w:rPr>
              <w:t>Produtos e materiais incompatíveis: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389">
              <w:rPr>
                <w:rFonts w:ascii="Arial" w:hAnsi="Arial" w:cs="Arial"/>
                <w:b/>
                <w:sz w:val="16"/>
                <w:szCs w:val="16"/>
              </w:rPr>
              <w:t>Materiais seguros para embalagens:</w:t>
            </w:r>
            <w:r w:rsid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>Recomendad</w:t>
            </w:r>
            <w:r w:rsidR="00403691">
              <w:rPr>
                <w:rFonts w:ascii="Arial" w:hAnsi="Arial" w:cs="Arial"/>
                <w:sz w:val="16"/>
                <w:szCs w:val="16"/>
              </w:rPr>
              <w:t>o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manter sempre os reagentes na sua embalagem original.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CONTROLE DE EXPOSIÇÃO E PROTEÇÃO INDIVIDUAL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B6F">
              <w:rPr>
                <w:rFonts w:ascii="Arial" w:hAnsi="Arial" w:cs="Arial"/>
                <w:b/>
                <w:sz w:val="16"/>
                <w:szCs w:val="16"/>
              </w:rPr>
              <w:t>Proteção respiratória: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utilizar máscara;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B6F">
              <w:rPr>
                <w:rFonts w:ascii="Arial" w:hAnsi="Arial" w:cs="Arial"/>
                <w:b/>
                <w:sz w:val="16"/>
                <w:szCs w:val="16"/>
              </w:rPr>
              <w:t>Proteção das mãos: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utilizar luvas e lavar as mãos após o manuseio;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Proteção dos olhos: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utilizar óculos de proteção ou máscara de proteção facial;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Proteção da pele e do corpo: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utilizar avental de manga comprida.</w:t>
            </w:r>
          </w:p>
        </w:tc>
      </w:tr>
      <w:tr w:rsidR="007A09AD" w:rsidRPr="00403691" w:rsidTr="003906A8">
        <w:trPr>
          <w:trHeight w:val="247"/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PROPRIEDADES FÍSICO-QUÍMICAS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Estado físico: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Os </w:t>
            </w:r>
            <w:r w:rsidR="009038B7">
              <w:rPr>
                <w:rFonts w:ascii="Arial" w:hAnsi="Arial" w:cs="Arial"/>
                <w:sz w:val="16"/>
                <w:szCs w:val="16"/>
              </w:rPr>
              <w:t>R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eagentes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° 1, 2, </w:t>
            </w:r>
            <w:r w:rsidR="002214E3">
              <w:rPr>
                <w:rFonts w:ascii="Arial" w:hAnsi="Arial" w:cs="Arial"/>
                <w:sz w:val="16"/>
                <w:szCs w:val="16"/>
              </w:rPr>
              <w:t>3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, 5, e </w:t>
            </w:r>
            <w:r w:rsidR="002214E3">
              <w:rPr>
                <w:rFonts w:ascii="Arial" w:hAnsi="Arial" w:cs="Arial"/>
                <w:sz w:val="16"/>
                <w:szCs w:val="16"/>
              </w:rPr>
              <w:t>9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são liofilizados e os </w:t>
            </w:r>
            <w:r w:rsidR="009038B7">
              <w:rPr>
                <w:rFonts w:ascii="Arial" w:hAnsi="Arial" w:cs="Arial"/>
                <w:sz w:val="16"/>
                <w:szCs w:val="16"/>
              </w:rPr>
              <w:t>R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eagentes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° </w:t>
            </w:r>
            <w:r w:rsidR="002214E3">
              <w:rPr>
                <w:rFonts w:ascii="Arial" w:hAnsi="Arial" w:cs="Arial"/>
                <w:sz w:val="16"/>
                <w:szCs w:val="16"/>
              </w:rPr>
              <w:t>4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, 6, </w:t>
            </w:r>
            <w:r w:rsidR="002214E3">
              <w:rPr>
                <w:rFonts w:ascii="Arial" w:hAnsi="Arial" w:cs="Arial"/>
                <w:sz w:val="16"/>
                <w:szCs w:val="16"/>
              </w:rPr>
              <w:t>7 e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14E3">
              <w:rPr>
                <w:rFonts w:ascii="Arial" w:hAnsi="Arial" w:cs="Arial"/>
                <w:sz w:val="16"/>
                <w:szCs w:val="16"/>
              </w:rPr>
              <w:t>8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são líquidos.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Cor: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Os </w:t>
            </w:r>
            <w:r w:rsidR="009038B7">
              <w:rPr>
                <w:rFonts w:ascii="Arial" w:hAnsi="Arial" w:cs="Arial"/>
                <w:sz w:val="16"/>
                <w:szCs w:val="16"/>
              </w:rPr>
              <w:t>R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eagentes de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° </w:t>
            </w:r>
            <w:r w:rsidR="002214E3">
              <w:rPr>
                <w:rFonts w:ascii="Arial" w:hAnsi="Arial" w:cs="Arial"/>
                <w:sz w:val="16"/>
                <w:szCs w:val="16"/>
              </w:rPr>
              <w:t>4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, 6, </w:t>
            </w:r>
            <w:r w:rsidR="002214E3">
              <w:rPr>
                <w:rFonts w:ascii="Arial" w:hAnsi="Arial" w:cs="Arial"/>
                <w:sz w:val="16"/>
                <w:szCs w:val="16"/>
              </w:rPr>
              <w:t>7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214E3">
              <w:rPr>
                <w:rFonts w:ascii="Arial" w:hAnsi="Arial" w:cs="Arial"/>
                <w:sz w:val="16"/>
                <w:szCs w:val="16"/>
              </w:rPr>
              <w:t>8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são incolores.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Odor: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       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pH: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       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lastRenderedPageBreak/>
              <w:t>Temperaturas específicas ou faixas de temperatura nas quais ocorrem mudanças de estado físico: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Ponto de fulgor: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Limite de explosividade superior/inferior: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Densidade: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Solubilidade: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lastRenderedPageBreak/>
              <w:t>ESTABILIDADE E REATIVIDADE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Estabilidade: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 produto é estável quando armazenado na temperatura adequada -20ºC (-10 a -30ºC);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Condições a evitar: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Exposição excessiva ao calor e a luz solar diminuem a estabilidade dos reagentes;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Reações perigosas: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aplicável.            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Produtos perigosos da decomposição: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INFORMAÇÕES TOXICOLÓGICAS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Toxicidade Aguda: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aplicável.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Efeitos locais: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Não aplicável.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INFORMAÇÕES ECOLÓGICAS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sz w:val="16"/>
                <w:szCs w:val="16"/>
              </w:rPr>
              <w:t>Efeitos ambientais, comportamento e impactos do produto: Informações ecológicas específicas destes reagentes não estão disponíveis. Seguindo as Boas Práticas do Laboratório, manuseando com cuidado e atenção não se espera obter nenhum problema ecológico. Para o correto descarte deve-se observar o item 13.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CONSIDERAÇÕES SOBRE TRATAMENTO E DISPOSIÇÃO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3906A8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Produto: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 produto e sua embalagem devem ser descartados segundo a RDC Nº 222/2018 da Agência Nacional de Vigilância Sanitária (ANVISA) ou as leis federais ou locais estabelecidas.</w:t>
            </w:r>
          </w:p>
          <w:p w:rsidR="003906A8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Restos de produtos: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Restos de produtos devem ser descartados segundo a RDC Nº 222/2018 da Agência Nacional de</w:t>
            </w:r>
            <w:r w:rsid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>Vigilância Sanitária (ANVISA) ou as leis federais ou locais estabelecidas.</w:t>
            </w:r>
          </w:p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Embalagem usada: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Os reagentes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>°1</w:t>
            </w:r>
            <w:r w:rsidR="008D791A">
              <w:rPr>
                <w:rFonts w:ascii="Arial" w:hAnsi="Arial" w:cs="Arial"/>
                <w:sz w:val="16"/>
                <w:szCs w:val="16"/>
              </w:rPr>
              <w:t>, 2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8D791A">
              <w:rPr>
                <w:rFonts w:ascii="Arial" w:hAnsi="Arial" w:cs="Arial"/>
                <w:sz w:val="16"/>
                <w:szCs w:val="16"/>
              </w:rPr>
              <w:t>8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são embalados em tubo âmbar, o </w:t>
            </w:r>
            <w:r w:rsidR="009038B7">
              <w:rPr>
                <w:rFonts w:ascii="Arial" w:hAnsi="Arial" w:cs="Arial"/>
                <w:sz w:val="16"/>
                <w:szCs w:val="16"/>
              </w:rPr>
              <w:t>R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eagente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° </w:t>
            </w:r>
            <w:r w:rsidR="008D791A">
              <w:rPr>
                <w:rFonts w:ascii="Arial" w:hAnsi="Arial" w:cs="Arial"/>
                <w:sz w:val="16"/>
                <w:szCs w:val="16"/>
              </w:rPr>
              <w:t>3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é embalado em frasco de vidro</w:t>
            </w:r>
            <w:r w:rsidR="008D791A">
              <w:rPr>
                <w:rFonts w:ascii="Arial" w:hAnsi="Arial" w:cs="Arial"/>
                <w:sz w:val="16"/>
                <w:szCs w:val="16"/>
              </w:rPr>
              <w:t>,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os reagentes</w:t>
            </w:r>
            <w:r w:rsidR="009038B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B7">
              <w:rPr>
                <w:rFonts w:ascii="Arial" w:hAnsi="Arial" w:cs="Arial"/>
                <w:sz w:val="16"/>
                <w:szCs w:val="16"/>
              </w:rPr>
              <w:t>N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° </w:t>
            </w:r>
            <w:r w:rsidR="008D791A">
              <w:rPr>
                <w:rFonts w:ascii="Arial" w:hAnsi="Arial" w:cs="Arial"/>
                <w:sz w:val="16"/>
                <w:szCs w:val="16"/>
              </w:rPr>
              <w:t>4</w:t>
            </w:r>
            <w:r w:rsidRPr="00403691">
              <w:rPr>
                <w:rFonts w:ascii="Arial" w:hAnsi="Arial" w:cs="Arial"/>
                <w:sz w:val="16"/>
                <w:szCs w:val="16"/>
              </w:rPr>
              <w:t>, 6, 7</w:t>
            </w:r>
            <w:r w:rsidR="008D79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8D791A">
              <w:rPr>
                <w:rFonts w:ascii="Arial" w:hAnsi="Arial" w:cs="Arial"/>
                <w:sz w:val="16"/>
                <w:szCs w:val="16"/>
              </w:rPr>
              <w:t>8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são embalados em </w:t>
            </w:r>
            <w:r w:rsidR="008D791A">
              <w:rPr>
                <w:rFonts w:ascii="Arial" w:hAnsi="Arial" w:cs="Arial"/>
                <w:sz w:val="16"/>
                <w:szCs w:val="16"/>
              </w:rPr>
              <w:t xml:space="preserve">frasco criogênico transparente e o Reagente N° 4 é embalado em </w:t>
            </w:r>
            <w:r w:rsidRPr="00403691">
              <w:rPr>
                <w:rFonts w:ascii="Arial" w:hAnsi="Arial" w:cs="Arial"/>
                <w:sz w:val="16"/>
                <w:szCs w:val="16"/>
              </w:rPr>
              <w:t>tubo transparente.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INFORMAÇÕES SOBRE TRANSPORTE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FA6">
              <w:rPr>
                <w:rFonts w:ascii="Arial" w:hAnsi="Arial" w:cs="Arial"/>
                <w:b/>
                <w:sz w:val="16"/>
                <w:szCs w:val="16"/>
              </w:rPr>
              <w:t>Regulamentações nacionais e internacionais: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 sem restrições.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REGULAMENTAÇÕES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sz w:val="16"/>
                <w:szCs w:val="16"/>
              </w:rPr>
              <w:t>Reagentes fabricados segundo a RDC 16/2013. Gerenciamento de resíduos de saúde segundo a RDC Nº</w:t>
            </w:r>
            <w:r w:rsidR="00903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>222 de 28 de março de 2018 da Agência Nacional de Vigilância. Modelo orientativo da FISPQ segundo a norma ABNT NBR 14725-4:2014 e Decreto/PR 2657/98.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403691" w:rsidP="0040369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3691">
              <w:rPr>
                <w:rFonts w:ascii="Arial" w:hAnsi="Arial" w:cs="Arial"/>
                <w:b/>
                <w:sz w:val="16"/>
                <w:szCs w:val="16"/>
              </w:rPr>
              <w:t>OUTRAS INFORMAÇÕES</w:t>
            </w:r>
          </w:p>
        </w:tc>
      </w:tr>
      <w:tr w:rsidR="007A09AD" w:rsidRPr="00403691" w:rsidTr="003906A8">
        <w:trPr>
          <w:jc w:val="center"/>
        </w:trPr>
        <w:tc>
          <w:tcPr>
            <w:tcW w:w="103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7A09AD" w:rsidRPr="00403691" w:rsidRDefault="003906A8" w:rsidP="0040369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691">
              <w:rPr>
                <w:rFonts w:ascii="Arial" w:hAnsi="Arial" w:cs="Arial"/>
                <w:sz w:val="16"/>
                <w:szCs w:val="16"/>
              </w:rPr>
              <w:t>Esta Ficha de Informações de Segurança de Produtos Químicos (FISPQ) foi elaborada para orientação e segurança do</w:t>
            </w:r>
            <w:r w:rsid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>manipulador deste Reagente. Porém todo produto químico pode apresentar um risco desconhecido e deve ser manipulado</w:t>
            </w:r>
            <w:r w:rsidR="004036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91">
              <w:rPr>
                <w:rFonts w:ascii="Arial" w:hAnsi="Arial" w:cs="Arial"/>
                <w:sz w:val="16"/>
                <w:szCs w:val="16"/>
              </w:rPr>
              <w:t xml:space="preserve">segundo as Boas Práticas do Laboratório. </w:t>
            </w:r>
          </w:p>
        </w:tc>
      </w:tr>
    </w:tbl>
    <w:p w:rsidR="007A09AD" w:rsidRPr="00403691" w:rsidRDefault="007A09AD" w:rsidP="0040369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A09AD" w:rsidRPr="00403691" w:rsidSect="003906A8">
      <w:headerReference w:type="default" r:id="rId7"/>
      <w:pgSz w:w="11906" w:h="16838"/>
      <w:pgMar w:top="1418" w:right="1134" w:bottom="1276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13" w:rsidRDefault="003906A8">
      <w:r>
        <w:separator/>
      </w:r>
    </w:p>
  </w:endnote>
  <w:endnote w:type="continuationSeparator" w:id="0">
    <w:p w:rsidR="00E46F13" w:rsidRDefault="003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9A3B50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13" w:rsidRDefault="003906A8">
      <w:r>
        <w:separator/>
      </w:r>
    </w:p>
  </w:footnote>
  <w:footnote w:type="continuationSeparator" w:id="0">
    <w:p w:rsidR="00E46F13" w:rsidRDefault="0039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9" w:type="dxa"/>
      <w:tblInd w:w="-291" w:type="dxa"/>
      <w:tblBorders>
        <w:top w:val="single" w:sz="12" w:space="0" w:color="00000A"/>
        <w:left w:val="single" w:sz="12" w:space="0" w:color="00000A"/>
      </w:tblBorders>
      <w:tblCellMar>
        <w:left w:w="69" w:type="dxa"/>
        <w:right w:w="70" w:type="dxa"/>
      </w:tblCellMar>
      <w:tblLook w:val="0000" w:firstRow="0" w:lastRow="0" w:firstColumn="0" w:lastColumn="0" w:noHBand="0" w:noVBand="0"/>
    </w:tblPr>
    <w:tblGrid>
      <w:gridCol w:w="2280"/>
      <w:gridCol w:w="6017"/>
      <w:gridCol w:w="2072"/>
    </w:tblGrid>
    <w:tr w:rsidR="007A09AD">
      <w:trPr>
        <w:cantSplit/>
        <w:trHeight w:val="538"/>
      </w:trPr>
      <w:tc>
        <w:tcPr>
          <w:tcW w:w="2280" w:type="dxa"/>
          <w:vMerge w:val="restart"/>
          <w:tcBorders>
            <w:top w:val="single" w:sz="12" w:space="0" w:color="00000A"/>
            <w:left w:val="single" w:sz="12" w:space="0" w:color="00000A"/>
          </w:tcBorders>
          <w:shd w:val="clear" w:color="auto" w:fill="auto"/>
          <w:tcMar>
            <w:left w:w="69" w:type="dxa"/>
          </w:tcMar>
        </w:tcPr>
        <w:p w:rsidR="007A09AD" w:rsidRDefault="007A09AD">
          <w:pPr>
            <w:pStyle w:val="Cabealho"/>
            <w:jc w:val="center"/>
            <w:rPr>
              <w:sz w:val="4"/>
            </w:rPr>
          </w:pPr>
        </w:p>
        <w:p w:rsidR="007A09AD" w:rsidRDefault="003906A8">
          <w:pPr>
            <w:jc w:val="center"/>
          </w:pPr>
          <w:r>
            <w:rPr>
              <w:noProof/>
            </w:rPr>
            <w:drawing>
              <wp:inline distT="0" distB="0" distL="19050" distR="4445">
                <wp:extent cx="1081405" cy="27813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A09AD" w:rsidRDefault="003906A8">
          <w:pPr>
            <w:jc w:val="center"/>
            <w:rPr>
              <w:sz w:val="12"/>
            </w:rPr>
          </w:pPr>
          <w:r>
            <w:rPr>
              <w:noProof/>
              <w:sz w:val="12"/>
            </w:rPr>
            <w:drawing>
              <wp:anchor distT="0" distB="0" distL="133350" distR="120015" simplePos="0" relativeHeight="251662336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15240</wp:posOffset>
                </wp:positionV>
                <wp:extent cx="1175385" cy="271145"/>
                <wp:effectExtent l="0" t="0" r="0" b="0"/>
                <wp:wrapNone/>
                <wp:docPr id="8" name="Imagem 8" descr="Logo_Quibasa_65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8" descr="Logo_Quibasa_65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271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09AD" w:rsidRDefault="007A09AD">
          <w:pPr>
            <w:jc w:val="center"/>
            <w:rPr>
              <w:rFonts w:ascii="Verdana" w:hAnsi="Verdana"/>
            </w:rPr>
          </w:pPr>
        </w:p>
      </w:tc>
      <w:tc>
        <w:tcPr>
          <w:tcW w:w="6017" w:type="dxa"/>
          <w:tcBorders>
            <w:top w:val="single" w:sz="12" w:space="0" w:color="00000A"/>
          </w:tcBorders>
          <w:shd w:val="clear" w:color="auto" w:fill="auto"/>
          <w:vAlign w:val="center"/>
        </w:tcPr>
        <w:p w:rsidR="007A09AD" w:rsidRDefault="003906A8">
          <w:pPr>
            <w:tabs>
              <w:tab w:val="left" w:pos="720"/>
              <w:tab w:val="left" w:pos="3650"/>
              <w:tab w:val="left" w:pos="3890"/>
            </w:tabs>
            <w:jc w:val="center"/>
            <w:rPr>
              <w:rStyle w:val="Nmerodepgina"/>
              <w:rFonts w:ascii="Verdana" w:hAnsi="Verdana" w:cs="Arial"/>
              <w:b/>
              <w:bCs/>
              <w:sz w:val="20"/>
            </w:rPr>
          </w:pPr>
          <w:r>
            <w:rPr>
              <w:rStyle w:val="Nmerodepgina"/>
              <w:rFonts w:ascii="Verdana" w:hAnsi="Verdana" w:cs="Arial"/>
              <w:b/>
              <w:bCs/>
              <w:sz w:val="20"/>
            </w:rPr>
            <w:t>FICHA DE INFORMAÇÕES DE SEGURANÇA DE PRODUTOS QUÍMICOS</w:t>
          </w:r>
        </w:p>
      </w:tc>
      <w:tc>
        <w:tcPr>
          <w:tcW w:w="2072" w:type="dxa"/>
          <w:tcBorders>
            <w:top w:val="single" w:sz="12" w:space="0" w:color="00000A"/>
            <w:right w:val="single" w:sz="12" w:space="0" w:color="00000A"/>
          </w:tcBorders>
          <w:shd w:val="clear" w:color="auto" w:fill="auto"/>
        </w:tcPr>
        <w:p w:rsidR="007A09AD" w:rsidRDefault="007A09AD">
          <w:pPr>
            <w:pStyle w:val="Cabealho"/>
            <w:spacing w:before="120"/>
            <w:rPr>
              <w:rStyle w:val="Nmerodepgina"/>
              <w:rFonts w:ascii="Verdana" w:hAnsi="Verdana" w:cs="Arial"/>
              <w:sz w:val="14"/>
            </w:rPr>
          </w:pPr>
        </w:p>
        <w:p w:rsidR="007A09AD" w:rsidRDefault="003906A8">
          <w:pPr>
            <w:pStyle w:val="Cabealho"/>
            <w:spacing w:before="120"/>
            <w:rPr>
              <w:rStyle w:val="Nmerodepgina"/>
              <w:rFonts w:cs="Arial"/>
              <w:sz w:val="14"/>
            </w:rPr>
          </w:pPr>
          <w:r>
            <w:rPr>
              <w:rStyle w:val="Nmerodepgina"/>
              <w:rFonts w:ascii="Verdana" w:hAnsi="Verdana" w:cs="Arial"/>
              <w:sz w:val="14"/>
            </w:rPr>
            <w:t xml:space="preserve">Revisão: </w:t>
          </w:r>
          <w:r w:rsidR="00153653">
            <w:rPr>
              <w:rStyle w:val="Nmerodepgina"/>
              <w:rFonts w:ascii="Verdana" w:hAnsi="Verdana" w:cs="Arial"/>
              <w:sz w:val="14"/>
            </w:rPr>
            <w:t>07/05/2020</w:t>
          </w:r>
        </w:p>
      </w:tc>
    </w:tr>
    <w:tr w:rsidR="007A09AD">
      <w:trPr>
        <w:cantSplit/>
      </w:trPr>
      <w:tc>
        <w:tcPr>
          <w:tcW w:w="2280" w:type="dxa"/>
          <w:vMerge/>
          <w:tcBorders>
            <w:left w:val="single" w:sz="12" w:space="0" w:color="00000A"/>
            <w:bottom w:val="single" w:sz="12" w:space="0" w:color="00000A"/>
          </w:tcBorders>
          <w:shd w:val="clear" w:color="auto" w:fill="auto"/>
          <w:tcMar>
            <w:left w:w="69" w:type="dxa"/>
          </w:tcMar>
        </w:tcPr>
        <w:p w:rsidR="007A09AD" w:rsidRDefault="007A09AD">
          <w:pPr>
            <w:pStyle w:val="Cabealho"/>
            <w:spacing w:before="120"/>
            <w:rPr>
              <w:rStyle w:val="Nmerodepgina"/>
              <w:rFonts w:ascii="Verdana" w:hAnsi="Verdana" w:cs="Arial"/>
              <w:b/>
              <w:bCs/>
            </w:rPr>
          </w:pPr>
        </w:p>
      </w:tc>
      <w:tc>
        <w:tcPr>
          <w:tcW w:w="6017" w:type="dxa"/>
          <w:tcBorders>
            <w:bottom w:val="single" w:sz="12" w:space="0" w:color="00000A"/>
          </w:tcBorders>
          <w:shd w:val="clear" w:color="auto" w:fill="auto"/>
        </w:tcPr>
        <w:p w:rsidR="007A09AD" w:rsidRDefault="003906A8">
          <w:pPr>
            <w:pStyle w:val="Cabealho"/>
            <w:spacing w:before="120"/>
            <w:jc w:val="center"/>
            <w:rPr>
              <w:rStyle w:val="Nmerodepgina"/>
              <w:rFonts w:ascii="Verdana" w:hAnsi="Verdana" w:cs="Arial"/>
              <w:b/>
              <w:bCs/>
              <w:sz w:val="20"/>
              <w:szCs w:val="20"/>
              <w:lang w:val="es-ES"/>
            </w:rPr>
          </w:pPr>
          <w:r>
            <w:rPr>
              <w:rFonts w:ascii="Verdana" w:hAnsi="Verdana" w:cs="TTE19A3B50t00"/>
              <w:b/>
              <w:sz w:val="20"/>
              <w:szCs w:val="20"/>
              <w:lang w:val="es-ES"/>
            </w:rPr>
            <w:t xml:space="preserve">BIO GENE </w:t>
          </w:r>
          <w:r w:rsidR="002214E3">
            <w:rPr>
              <w:rFonts w:ascii="Verdana" w:hAnsi="Verdana" w:cs="TTE19A3B50t00"/>
              <w:b/>
              <w:sz w:val="20"/>
              <w:szCs w:val="20"/>
              <w:lang w:val="es-ES"/>
            </w:rPr>
            <w:t>COVID-19</w:t>
          </w:r>
          <w:r>
            <w:rPr>
              <w:rFonts w:ascii="Verdana" w:hAnsi="Verdana" w:cs="TTE19A3B50t00"/>
              <w:b/>
              <w:sz w:val="20"/>
              <w:szCs w:val="20"/>
              <w:lang w:val="es-ES"/>
            </w:rPr>
            <w:t xml:space="preserve"> PCR – K</w:t>
          </w:r>
          <w:r w:rsidR="002214E3">
            <w:rPr>
              <w:rFonts w:ascii="Verdana" w:hAnsi="Verdana" w:cs="TTE19A3B50t00"/>
              <w:b/>
              <w:sz w:val="20"/>
              <w:szCs w:val="20"/>
              <w:lang w:val="es-ES"/>
            </w:rPr>
            <w:t>228-1</w:t>
          </w:r>
        </w:p>
      </w:tc>
      <w:tc>
        <w:tcPr>
          <w:tcW w:w="2072" w:type="dxa"/>
          <w:tcBorders>
            <w:bottom w:val="single" w:sz="12" w:space="0" w:color="00000A"/>
            <w:right w:val="single" w:sz="12" w:space="0" w:color="00000A"/>
          </w:tcBorders>
          <w:shd w:val="clear" w:color="auto" w:fill="auto"/>
        </w:tcPr>
        <w:p w:rsidR="007A09AD" w:rsidRDefault="003906A8">
          <w:pPr>
            <w:pStyle w:val="Cabealho"/>
            <w:spacing w:before="120"/>
          </w:pPr>
          <w:r>
            <w:rPr>
              <w:rFonts w:ascii="Verdana" w:hAnsi="Verdana" w:cs="Arial"/>
              <w:sz w:val="14"/>
            </w:rPr>
            <w:t xml:space="preserve">Página </w:t>
          </w:r>
          <w:r w:rsidRPr="003906A8">
            <w:rPr>
              <w:rStyle w:val="Nmerodepgina"/>
              <w:rFonts w:ascii="Verdana" w:hAnsi="Verdana" w:cs="Arial"/>
              <w:sz w:val="14"/>
            </w:rPr>
            <w:fldChar w:fldCharType="begin"/>
          </w:r>
          <w:r w:rsidRPr="003906A8">
            <w:rPr>
              <w:rStyle w:val="Nmerodepgina"/>
              <w:rFonts w:ascii="Verdana" w:hAnsi="Verdana" w:cs="Arial"/>
              <w:sz w:val="14"/>
            </w:rPr>
            <w:instrText>PAGE</w:instrText>
          </w:r>
          <w:r w:rsidRPr="003906A8">
            <w:rPr>
              <w:rStyle w:val="Nmerodepgina"/>
              <w:rFonts w:ascii="Verdana" w:hAnsi="Verdana" w:cs="Arial"/>
              <w:sz w:val="14"/>
            </w:rPr>
            <w:fldChar w:fldCharType="separate"/>
          </w:r>
          <w:r w:rsidR="00CC22BB">
            <w:rPr>
              <w:rStyle w:val="Nmerodepgina"/>
              <w:rFonts w:ascii="Verdana" w:hAnsi="Verdana" w:cs="Arial"/>
              <w:noProof/>
              <w:sz w:val="14"/>
            </w:rPr>
            <w:t>2</w:t>
          </w:r>
          <w:r w:rsidRPr="003906A8">
            <w:rPr>
              <w:rStyle w:val="Nmerodepgina"/>
              <w:rFonts w:ascii="Verdana" w:hAnsi="Verdana" w:cs="Arial"/>
              <w:sz w:val="14"/>
            </w:rPr>
            <w:fldChar w:fldCharType="end"/>
          </w:r>
          <w:r>
            <w:rPr>
              <w:rStyle w:val="Nmerodepgina"/>
              <w:rFonts w:ascii="Verdana" w:hAnsi="Verdana" w:cs="Arial"/>
              <w:sz w:val="14"/>
            </w:rPr>
            <w:t xml:space="preserve"> de 2</w:t>
          </w:r>
        </w:p>
      </w:tc>
    </w:tr>
  </w:tbl>
  <w:p w:rsidR="007A09AD" w:rsidRDefault="007A09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339"/>
    <w:multiLevelType w:val="multilevel"/>
    <w:tmpl w:val="E3FA8C00"/>
    <w:lvl w:ilvl="0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679D3"/>
    <w:multiLevelType w:val="multilevel"/>
    <w:tmpl w:val="A74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00000A"/>
      </w:rPr>
    </w:lvl>
    <w:lvl w:ilvl="1">
      <w:start w:val="8"/>
      <w:numFmt w:val="decimal"/>
      <w:lvlText w:val="%2-"/>
      <w:lvlJc w:val="left"/>
      <w:pPr>
        <w:tabs>
          <w:tab w:val="num" w:pos="1440"/>
        </w:tabs>
        <w:ind w:left="1420" w:hanging="34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D94A67"/>
    <w:multiLevelType w:val="multilevel"/>
    <w:tmpl w:val="0EA656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603653"/>
    <w:multiLevelType w:val="multilevel"/>
    <w:tmpl w:val="87B8396C"/>
    <w:lvl w:ilvl="0">
      <w:start w:val="9"/>
      <w:numFmt w:val="decimal"/>
      <w:lvlText w:val="%1-"/>
      <w:lvlJc w:val="left"/>
      <w:pPr>
        <w:tabs>
          <w:tab w:val="num" w:pos="1797"/>
        </w:tabs>
        <w:ind w:left="1794" w:hanging="357"/>
      </w:pPr>
      <w:rPr>
        <w:rFonts w:ascii="Verdana" w:hAnsi="Verdana"/>
        <w:b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9AD"/>
    <w:rsid w:val="00104FA6"/>
    <w:rsid w:val="00153653"/>
    <w:rsid w:val="002214E3"/>
    <w:rsid w:val="002F6CCA"/>
    <w:rsid w:val="00377B6F"/>
    <w:rsid w:val="003906A8"/>
    <w:rsid w:val="00400389"/>
    <w:rsid w:val="00403691"/>
    <w:rsid w:val="007A09AD"/>
    <w:rsid w:val="008D791A"/>
    <w:rsid w:val="009038B7"/>
    <w:rsid w:val="00CC22BB"/>
    <w:rsid w:val="00E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5C63"/>
  <w15:docId w15:val="{C753B40E-FF1E-4EB8-B3D9-6304A987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63F"/>
    <w:rPr>
      <w:sz w:val="24"/>
      <w:szCs w:val="24"/>
    </w:rPr>
  </w:style>
  <w:style w:type="paragraph" w:styleId="Ttulo1">
    <w:name w:val="heading 1"/>
    <w:basedOn w:val="Normal"/>
    <w:next w:val="Normal"/>
    <w:qFormat/>
    <w:rsid w:val="003E063F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rsid w:val="003E063F"/>
    <w:pPr>
      <w:keepNext/>
      <w:jc w:val="center"/>
      <w:outlineLvl w:val="1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3E063F"/>
  </w:style>
  <w:style w:type="character" w:customStyle="1" w:styleId="LinkdaInternet">
    <w:name w:val="Link da Internet"/>
    <w:basedOn w:val="Fontepargpadro"/>
    <w:rsid w:val="003E063F"/>
    <w:rPr>
      <w:color w:val="0000FF"/>
      <w:u w:val="single"/>
    </w:rPr>
  </w:style>
  <w:style w:type="character" w:styleId="HiperlinkVisitado">
    <w:name w:val="FollowedHyperlink"/>
    <w:basedOn w:val="Fontepargpadro"/>
    <w:qFormat/>
    <w:rsid w:val="003E063F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1E62"/>
    <w:rPr>
      <w:rFonts w:ascii="Tahoma" w:hAnsi="Tahoma" w:cs="Tahoma"/>
      <w:sz w:val="16"/>
      <w:szCs w:val="16"/>
    </w:rPr>
  </w:style>
  <w:style w:type="character" w:customStyle="1" w:styleId="Procsheet1">
    <w:name w:val="Procsheet(1)"/>
    <w:basedOn w:val="Fontepargpadro"/>
    <w:qFormat/>
    <w:rsid w:val="005A0617"/>
    <w:rPr>
      <w:rFonts w:ascii="Arial" w:hAnsi="Arial"/>
      <w:sz w:val="24"/>
      <w:lang w:val="en-US"/>
    </w:rPr>
  </w:style>
  <w:style w:type="character" w:customStyle="1" w:styleId="A0">
    <w:name w:val="A0"/>
    <w:uiPriority w:val="99"/>
    <w:qFormat/>
    <w:rsid w:val="00312A76"/>
    <w:rPr>
      <w:color w:val="000000"/>
      <w:sz w:val="14"/>
      <w:szCs w:val="14"/>
    </w:rPr>
  </w:style>
  <w:style w:type="character" w:customStyle="1" w:styleId="apple-converted-space">
    <w:name w:val="apple-converted-space"/>
    <w:basedOn w:val="Fontepargpadro"/>
    <w:qFormat/>
    <w:rsid w:val="00652CA1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ascii="Verdana" w:hAnsi="Verdana"/>
      <w:b/>
      <w:i w:val="0"/>
      <w:sz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74970"/>
    <w:pPr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3E06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06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7E1E6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A0617"/>
    <w:rPr>
      <w:rFonts w:eastAsia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312A76"/>
    <w:pPr>
      <w:spacing w:line="241" w:lineRule="atLeast"/>
    </w:pPr>
    <w:rPr>
      <w:rFonts w:ascii="Arial" w:eastAsia="Times New Roman" w:hAnsi="Arial" w:cs="Arial"/>
      <w:color w:val="00000A"/>
    </w:rPr>
  </w:style>
  <w:style w:type="character" w:styleId="Hyperlink">
    <w:name w:val="Hyperlink"/>
    <w:basedOn w:val="Fontepargpadro"/>
    <w:unhideWhenUsed/>
    <w:rsid w:val="00403691"/>
    <w:rPr>
      <w:color w:val="0000FF" w:themeColor="hyperlink"/>
      <w:u w:val="single"/>
    </w:rPr>
  </w:style>
  <w:style w:type="paragraph" w:customStyle="1" w:styleId="Pa3">
    <w:name w:val="Pa3"/>
    <w:basedOn w:val="Default"/>
    <w:next w:val="Default"/>
    <w:uiPriority w:val="99"/>
    <w:rsid w:val="002214E3"/>
    <w:pPr>
      <w:autoSpaceDE w:val="0"/>
      <w:autoSpaceDN w:val="0"/>
      <w:adjustRightInd w:val="0"/>
      <w:spacing w:line="221" w:lineRule="atLeast"/>
    </w:pPr>
    <w:rPr>
      <w:rFonts w:ascii="Arial" w:eastAsia="Times New Roman" w:hAnsi="Arial" w:cs="Arial"/>
      <w:color w:val="auto"/>
    </w:rPr>
  </w:style>
  <w:style w:type="character" w:customStyle="1" w:styleId="A4">
    <w:name w:val="A4"/>
    <w:uiPriority w:val="99"/>
    <w:rsid w:val="002214E3"/>
    <w:rPr>
      <w:color w:val="000000"/>
      <w:sz w:val="13"/>
      <w:szCs w:val="13"/>
    </w:rPr>
  </w:style>
  <w:style w:type="character" w:customStyle="1" w:styleId="A5">
    <w:name w:val="A5"/>
    <w:uiPriority w:val="99"/>
    <w:rsid w:val="002214E3"/>
    <w:rPr>
      <w:color w:val="000000"/>
      <w:sz w:val="7"/>
      <w:szCs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Particular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Quibasa</dc:creator>
  <cp:lastModifiedBy>Gabriela Macieira</cp:lastModifiedBy>
  <cp:revision>13</cp:revision>
  <cp:lastPrinted>2005-05-04T18:35:00Z</cp:lastPrinted>
  <dcterms:created xsi:type="dcterms:W3CDTF">2015-08-31T13:49:00Z</dcterms:created>
  <dcterms:modified xsi:type="dcterms:W3CDTF">2020-05-07T14:17:00Z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